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104F" w14:textId="3E276AF7" w:rsidR="00693119" w:rsidRPr="00C2552A" w:rsidRDefault="00B60294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6B2F95">
        <w:rPr>
          <w:rFonts w:ascii="Open Sans Light" w:hAnsi="Open Sans Light" w:cs="Open Sans Light"/>
          <w:noProof/>
          <w:color w:val="000000"/>
          <w:sz w:val="22"/>
          <w:szCs w:val="22"/>
        </w:rPr>
        <w:drawing>
          <wp:inline distT="0" distB="0" distL="0" distR="0" wp14:anchorId="093F5ED3" wp14:editId="2A740A1B">
            <wp:extent cx="5760720" cy="739028"/>
            <wp:effectExtent l="0" t="0" r="0" b="4445"/>
            <wp:docPr id="42596814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3A0E8ACA" w:rsidR="008F049C" w:rsidRPr="00C2552A" w:rsidRDefault="00B60294" w:rsidP="00C208AF">
      <w:pPr>
        <w:pStyle w:val="Tytu"/>
        <w:spacing w:before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projektu</w:t>
      </w:r>
      <w:r w:rsidR="000E0D1E" w:rsidRPr="00C2552A">
        <w:rPr>
          <w:rFonts w:ascii="Open Sans Light" w:hAnsi="Open Sans Light" w:cs="Open Sans Light"/>
        </w:rPr>
        <w:t xml:space="preserve">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7FE1A94" w14:textId="77777777" w:rsidR="0068657F" w:rsidRDefault="00B60294" w:rsidP="00D92C1C">
      <w:pPr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>
        <w:rPr>
          <w:rFonts w:ascii="Open Sans Light" w:hAnsi="Open Sans Light" w:cs="Open Sans Light"/>
          <w:b/>
          <w:bCs/>
          <w:kern w:val="28"/>
          <w:sz w:val="32"/>
          <w:szCs w:val="32"/>
        </w:rPr>
        <w:t>KRAJOWEGO PLANU ODBUDOWY</w:t>
      </w:r>
      <w:r w:rsidR="0068657F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 </w:t>
      </w:r>
    </w:p>
    <w:p w14:paraId="60F4B64B" w14:textId="7B4D8541" w:rsidR="00693119" w:rsidRPr="00C2552A" w:rsidRDefault="0068657F" w:rsidP="00D92C1C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  <w:bCs/>
          <w:kern w:val="28"/>
          <w:sz w:val="32"/>
          <w:szCs w:val="32"/>
        </w:rPr>
        <w:t>I ZWIĘKSZANIA ODPORNOŚCI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5F5FC18E" w14:textId="30E9D557" w:rsidR="0076363B" w:rsidRDefault="00B60294" w:rsidP="00B6029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60294">
        <w:rPr>
          <w:rFonts w:ascii="Open Sans Light" w:hAnsi="Open Sans Light" w:cs="Open Sans Light"/>
          <w:b/>
          <w:sz w:val="22"/>
          <w:szCs w:val="22"/>
        </w:rPr>
        <w:t>Inwestycja:</w:t>
      </w:r>
      <w:r>
        <w:rPr>
          <w:rFonts w:ascii="Open Sans Light" w:hAnsi="Open Sans Light" w:cs="Open Sans Light"/>
          <w:sz w:val="22"/>
          <w:szCs w:val="22"/>
        </w:rPr>
        <w:t xml:space="preserve"> </w:t>
      </w:r>
      <w:r w:rsidRPr="00B60294">
        <w:rPr>
          <w:rFonts w:ascii="Open Sans Light" w:hAnsi="Open Sans Light" w:cs="Open Sans Light"/>
          <w:sz w:val="22"/>
          <w:szCs w:val="22"/>
        </w:rPr>
        <w:t>B3.2.1 Inwestycje w neutralizację ryzyka i rekultywację wielkoobszarowych terenów poprzemysłowych i Morza Bałtyckiego.</w:t>
      </w:r>
    </w:p>
    <w:p w14:paraId="15D5AC8A" w14:textId="77777777" w:rsidR="00A32E09" w:rsidRPr="00C2552A" w:rsidRDefault="00A32E09" w:rsidP="00A32E09">
      <w:pPr>
        <w:spacing w:line="276" w:lineRule="auto"/>
        <w:jc w:val="both"/>
        <w:rPr>
          <w:rFonts w:ascii="Open Sans Light" w:hAnsi="Open Sans Light" w:cs="Open Sans Light"/>
        </w:rPr>
      </w:pPr>
    </w:p>
    <w:p w14:paraId="779146F7" w14:textId="7B059200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="00B60294" w:rsidRPr="00B60294">
        <w:rPr>
          <w:rFonts w:ascii="Open Sans Light" w:hAnsi="Open Sans Light" w:cs="Open Sans Light"/>
        </w:rPr>
        <w:t>KPOD.04.10-IW.04-001/24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4914BA0C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DA4510">
        <w:rPr>
          <w:rFonts w:ascii="Open Sans Light" w:hAnsi="Open Sans Light" w:cs="Open Sans Light"/>
          <w:b/>
          <w:bCs/>
          <w:kern w:val="32"/>
        </w:rPr>
        <w:t>/zmianie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044967FA" w:rsidR="005407B9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F26979F" w14:textId="43C4F656" w:rsidR="00B60294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62B0B58" w14:textId="7D0404C0" w:rsidR="00B60294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E373995" w14:textId="56F9DE99" w:rsidR="00B60294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636F25" w14:textId="77777777" w:rsidR="00C419E0" w:rsidRDefault="00C419E0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C61CCF9" w14:textId="77777777" w:rsidR="00C419E0" w:rsidRDefault="00C419E0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ADD72AA" w14:textId="77777777" w:rsidR="00B60294" w:rsidRPr="00C2552A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76F0E6" w14:textId="77777777" w:rsidR="000F1DBD" w:rsidRPr="00C2552A" w:rsidRDefault="000F1DBD" w:rsidP="000F1DBD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bookmarkStart w:id="0" w:name="_Hlk140483474"/>
      <w:r w:rsidRPr="00C2552A">
        <w:rPr>
          <w:rFonts w:ascii="Open Sans Light" w:hAnsi="Open Sans Light" w:cs="Open Sans Light"/>
          <w:b/>
          <w:bCs/>
          <w:sz w:val="28"/>
          <w:szCs w:val="28"/>
        </w:rPr>
        <w:lastRenderedPageBreak/>
        <w:t xml:space="preserve">Kryteria </w:t>
      </w:r>
      <w:r>
        <w:rPr>
          <w:rFonts w:ascii="Open Sans Light" w:hAnsi="Open Sans Light" w:cs="Open Sans Light"/>
          <w:b/>
          <w:bCs/>
          <w:sz w:val="28"/>
          <w:szCs w:val="28"/>
        </w:rPr>
        <w:t>horyzontalne</w:t>
      </w:r>
    </w:p>
    <w:p w14:paraId="4B9361DC" w14:textId="2BE280A8" w:rsidR="00532415" w:rsidRPr="00D44DC8" w:rsidRDefault="00592FE4" w:rsidP="00F67E11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="00F67E11" w:rsidRPr="00F67E11">
        <w:rPr>
          <w:rFonts w:ascii="Open Sans Light" w:hAnsi="Open Sans Light" w:cs="Open Sans Light"/>
          <w:b/>
          <w:sz w:val="20"/>
          <w:szCs w:val="20"/>
        </w:rPr>
        <w:t>Zgodność z ramami</w:t>
      </w:r>
      <w:r w:rsidR="00F67E11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F67E11" w:rsidRPr="00F67E11">
        <w:rPr>
          <w:rFonts w:ascii="Open Sans Light" w:hAnsi="Open Sans Light" w:cs="Open Sans Light"/>
          <w:b/>
          <w:sz w:val="20"/>
          <w:szCs w:val="20"/>
        </w:rPr>
        <w:t>czasowymi planu</w:t>
      </w:r>
      <w:r w:rsidR="00F67E11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F67E11" w:rsidRPr="00F67E11">
        <w:rPr>
          <w:rFonts w:ascii="Open Sans Light" w:hAnsi="Open Sans Light" w:cs="Open Sans Light"/>
          <w:b/>
          <w:sz w:val="20"/>
          <w:szCs w:val="20"/>
        </w:rPr>
        <w:t>rozwojowego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80"/>
      </w:tblGrid>
      <w:tr w:rsidR="002C4511" w:rsidRPr="00D44DC8" w14:paraId="413A78BC" w14:textId="77777777" w:rsidTr="00C419E0">
        <w:tc>
          <w:tcPr>
            <w:tcW w:w="959" w:type="dxa"/>
            <w:shd w:val="clear" w:color="auto" w:fill="E2EFD9"/>
            <w:vAlign w:val="center"/>
          </w:tcPr>
          <w:p w14:paraId="4F64FB44" w14:textId="77777777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17E8E2B2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 Nie</w:t>
            </w:r>
          </w:p>
        </w:tc>
        <w:tc>
          <w:tcPr>
            <w:tcW w:w="2580" w:type="dxa"/>
            <w:shd w:val="clear" w:color="auto" w:fill="E2EFD9"/>
            <w:vAlign w:val="center"/>
          </w:tcPr>
          <w:p w14:paraId="142DEF1A" w14:textId="4B47A6A2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2C4511" w:rsidRPr="00D44DC8" w14:paraId="4A6CBF70" w14:textId="77777777" w:rsidTr="00C419E0">
        <w:trPr>
          <w:trHeight w:val="544"/>
        </w:trPr>
        <w:tc>
          <w:tcPr>
            <w:tcW w:w="959" w:type="dxa"/>
          </w:tcPr>
          <w:p w14:paraId="7B36984A" w14:textId="77777777" w:rsidR="002C4511" w:rsidRPr="00D44DC8" w:rsidRDefault="002C4511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31582C7" w14:textId="128768CE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C</w:t>
            </w: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zy harmonogram realizacji</w:t>
            </w:r>
          </w:p>
          <w:p w14:paraId="3B46D2CD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przedsięwzięcia nie przekracza ram czasowych</w:t>
            </w:r>
          </w:p>
          <w:p w14:paraId="2711D964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kwalifikowalności przedsięwzięć określonych w</w:t>
            </w:r>
          </w:p>
          <w:p w14:paraId="72CD9FC6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następujących dokumentach tj.:</w:t>
            </w:r>
          </w:p>
          <w:p w14:paraId="557775F3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- rozporządzeniu RRF – kwalifikowalne</w:t>
            </w:r>
          </w:p>
          <w:p w14:paraId="0A084D80" w14:textId="0879A5B6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przedsięwzięcie może się zacząć nie wcześniej niż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01.02.2020 r. i zakończyć nie później niż 31.08.2026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r.</w:t>
            </w: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;</w:t>
            </w:r>
          </w:p>
          <w:p w14:paraId="7B91E670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- planie rozwojowym – uzgodniony w planie</w:t>
            </w:r>
          </w:p>
          <w:p w14:paraId="274246B5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rozwojowym (w tym w odpowiedniej decyzji</w:t>
            </w:r>
          </w:p>
          <w:p w14:paraId="349F5683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implementacyjnej Rady UE) termin realizacji</w:t>
            </w:r>
          </w:p>
          <w:p w14:paraId="787D4079" w14:textId="5FC6A160" w:rsidR="002C4511" w:rsidRPr="00D44DC8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inwestycji i przedsięwzięcia.</w:t>
            </w:r>
          </w:p>
        </w:tc>
        <w:tc>
          <w:tcPr>
            <w:tcW w:w="1134" w:type="dxa"/>
          </w:tcPr>
          <w:p w14:paraId="781F49E1" w14:textId="77777777" w:rsidR="002C4511" w:rsidRPr="00D44DC8" w:rsidRDefault="002C4511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0" w:type="dxa"/>
          </w:tcPr>
          <w:p w14:paraId="63623A8B" w14:textId="54F410D1" w:rsidR="002C4511" w:rsidRPr="00D44DC8" w:rsidRDefault="002C4511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6888E93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47AA1BEC" w:rsidR="00A24CF0" w:rsidRPr="00D44DC8" w:rsidRDefault="00CB4B5F" w:rsidP="00F67E11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="00F67E11" w:rsidRPr="00F67E11">
        <w:rPr>
          <w:rFonts w:ascii="Open Sans Light" w:hAnsi="Open Sans Light" w:cs="Open Sans Light"/>
          <w:b/>
          <w:sz w:val="20"/>
          <w:szCs w:val="20"/>
        </w:rPr>
        <w:t>Zgodność z planem</w:t>
      </w:r>
      <w:r w:rsidR="00F67E11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F67E11" w:rsidRPr="00F67E11">
        <w:rPr>
          <w:rFonts w:ascii="Open Sans Light" w:hAnsi="Open Sans Light" w:cs="Open Sans Light"/>
          <w:b/>
          <w:sz w:val="20"/>
          <w:szCs w:val="20"/>
        </w:rPr>
        <w:t>rozwojowym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D9A3A16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2629628" w14:textId="77777777" w:rsidR="00F67E11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Czy przedsięwzięcie jest zgodne z rodzajem</w:t>
            </w:r>
          </w:p>
          <w:p w14:paraId="55416CAA" w14:textId="7134B583" w:rsidR="00927ADD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przedsięwzięć przewidzianym w opisie właściwego komponentu planu rozwojowego?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67E11" w:rsidRPr="00D44DC8" w14:paraId="7DF58932" w14:textId="77777777" w:rsidTr="0019790C">
        <w:trPr>
          <w:trHeight w:val="544"/>
        </w:trPr>
        <w:tc>
          <w:tcPr>
            <w:tcW w:w="959" w:type="dxa"/>
          </w:tcPr>
          <w:p w14:paraId="106C5F49" w14:textId="77777777" w:rsidR="00F67E11" w:rsidRPr="00D44DC8" w:rsidRDefault="00F67E11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890220D" w14:textId="6926ECCE" w:rsidR="00F67E11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Czy nie przekroczono pułapu maksymalnego poziomu finansowania dla danego typu przedsięwzięcia?</w:t>
            </w:r>
          </w:p>
        </w:tc>
        <w:tc>
          <w:tcPr>
            <w:tcW w:w="1304" w:type="dxa"/>
          </w:tcPr>
          <w:p w14:paraId="3C771ED8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40E7214E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67E11" w:rsidRPr="00D44DC8" w14:paraId="5BDA67F9" w14:textId="77777777" w:rsidTr="0019790C">
        <w:trPr>
          <w:trHeight w:val="544"/>
        </w:trPr>
        <w:tc>
          <w:tcPr>
            <w:tcW w:w="959" w:type="dxa"/>
          </w:tcPr>
          <w:p w14:paraId="23D41CFE" w14:textId="77777777" w:rsidR="00F67E11" w:rsidRPr="00D44DC8" w:rsidRDefault="00F67E11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B69009C" w14:textId="286548F7" w:rsidR="00F67E11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Czy ostateczny odbiorca składający wniosek o objęcie wsparciem jest uprawniony do ubiegania się przyznanie dofinansowania i nie jest wykluczony z dofinansowania na podstawie art. 207 ustawy z dnia 27 sierpnia 2009 r. o finansach publicznych (Dz. U. z 2021 r. poz. 305, 1236 i 1535 wraz z </w:t>
            </w:r>
            <w:proofErr w:type="spellStart"/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późn</w:t>
            </w:r>
            <w:proofErr w:type="spellEnd"/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. zm.)?.</w:t>
            </w:r>
          </w:p>
        </w:tc>
        <w:tc>
          <w:tcPr>
            <w:tcW w:w="1304" w:type="dxa"/>
          </w:tcPr>
          <w:p w14:paraId="26492D53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605C9C05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06E00744" w14:textId="381F25A4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116B9BC" w:rsidR="00805807" w:rsidRPr="00D44DC8" w:rsidRDefault="00805807" w:rsidP="00704FE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Brak podwójnego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7E90D2F" w14:textId="64D440E2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>
              <w:rPr>
                <w:rFonts w:ascii="Open Sans Light" w:hAnsi="Open Sans Light" w:cs="Open Sans Light"/>
                <w:b/>
                <w:bCs/>
              </w:rPr>
              <w:t>C</w:t>
            </w:r>
            <w:r w:rsidRPr="00704FE2">
              <w:rPr>
                <w:rFonts w:ascii="Open Sans Light" w:hAnsi="Open Sans Light" w:cs="Open Sans Light"/>
                <w:b/>
                <w:bCs/>
              </w:rPr>
              <w:t>zy ostateczny odbiorca nie otrzymał już</w:t>
            </w:r>
          </w:p>
          <w:p w14:paraId="52AB967F" w14:textId="77777777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finansowania na ten sam cel w ramach planu</w:t>
            </w:r>
          </w:p>
          <w:p w14:paraId="1BB9587C" w14:textId="77777777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rozwojowego lub innych unijnych programów,</w:t>
            </w:r>
          </w:p>
          <w:p w14:paraId="3084586D" w14:textId="77777777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instrumentów, funduszy w ramach budżetu Unii</w:t>
            </w:r>
          </w:p>
          <w:p w14:paraId="4CB6A5A2" w14:textId="50BD33E4" w:rsidR="00927ADD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Europejskiej na realizację zakresu prac zakładanego w</w:t>
            </w:r>
            <w:r>
              <w:rPr>
                <w:rFonts w:ascii="Open Sans Light" w:hAnsi="Open Sans Light" w:cs="Open Sans Light"/>
                <w:b/>
                <w:bCs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</w:rPr>
              <w:t>ramach realizacji przedsięwzięcia</w:t>
            </w:r>
            <w:r>
              <w:rPr>
                <w:rFonts w:ascii="Open Sans Light" w:hAnsi="Open Sans Light" w:cs="Open Sans Light"/>
                <w:b/>
                <w:bCs/>
              </w:rPr>
              <w:t>?</w:t>
            </w:r>
          </w:p>
          <w:p w14:paraId="6056D5F7" w14:textId="59AE7EB1" w:rsidR="00704FE2" w:rsidRPr="00D44DC8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>
              <w:rPr>
                <w:rFonts w:ascii="Open Sans Light" w:hAnsi="Open Sans Light" w:cs="Open Sans Light"/>
                <w:b/>
                <w:bCs/>
              </w:rPr>
              <w:t>(</w:t>
            </w:r>
            <w:r w:rsidRPr="00704FE2">
              <w:rPr>
                <w:rFonts w:ascii="Open Sans Light" w:hAnsi="Open Sans Light" w:cs="Open Sans Light"/>
                <w:bCs/>
              </w:rPr>
              <w:t>weryfikacja na podstawie oświadczenia)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FB6302A" w14:textId="77777777" w:rsidR="00436C1E" w:rsidRDefault="00436C1E" w:rsidP="00704FE2">
      <w:pPr>
        <w:rPr>
          <w:rFonts w:ascii="Open Sans Light" w:hAnsi="Open Sans Light" w:cs="Open Sans Light"/>
          <w:b/>
          <w:sz w:val="20"/>
          <w:szCs w:val="20"/>
        </w:rPr>
      </w:pPr>
    </w:p>
    <w:p w14:paraId="5160743D" w14:textId="77777777" w:rsidR="00436C1E" w:rsidRDefault="00436C1E" w:rsidP="00704FE2">
      <w:pPr>
        <w:rPr>
          <w:rFonts w:ascii="Open Sans Light" w:hAnsi="Open Sans Light" w:cs="Open Sans Light"/>
          <w:b/>
          <w:sz w:val="20"/>
          <w:szCs w:val="20"/>
        </w:rPr>
      </w:pPr>
    </w:p>
    <w:p w14:paraId="75EC938C" w14:textId="2C6C4A05" w:rsidR="00704FE2" w:rsidRPr="00704FE2" w:rsidRDefault="00246485" w:rsidP="00704FE2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4.   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Spójność informacji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zawartych we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wniosku o objęcie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wsparciem,</w:t>
      </w:r>
    </w:p>
    <w:p w14:paraId="5E777509" w14:textId="6FD9A848" w:rsidR="00433A0C" w:rsidRPr="00D44DC8" w:rsidRDefault="00704FE2" w:rsidP="00704FE2">
      <w:pPr>
        <w:rPr>
          <w:rFonts w:ascii="Open Sans Light" w:hAnsi="Open Sans Light" w:cs="Open Sans Light"/>
          <w:b/>
          <w:sz w:val="20"/>
          <w:szCs w:val="20"/>
        </w:rPr>
      </w:pPr>
      <w:r w:rsidRPr="00704FE2">
        <w:rPr>
          <w:rFonts w:ascii="Open Sans Light" w:hAnsi="Open Sans Light" w:cs="Open Sans Light"/>
          <w:b/>
          <w:sz w:val="20"/>
          <w:szCs w:val="20"/>
        </w:rPr>
        <w:t>załącznikach do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wniosku o objęcie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wsparciem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C5B111B" w14:textId="222850C0" w:rsidR="00927ADD" w:rsidRPr="00D44DC8" w:rsidRDefault="00704FE2" w:rsidP="00704FE2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informacje zawarte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we wniosku o objęcie wsparciem,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oświadczeniach oraz załącznikach do wniosku 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są spójne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5AF181F0" w14:textId="5CEA08E4" w:rsidR="00704FE2" w:rsidRPr="00704FE2" w:rsidRDefault="00246485" w:rsidP="00704FE2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  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Zachowanie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zgodności z zasadą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równości szans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i niedyskryminacji</w:t>
      </w:r>
    </w:p>
    <w:p w14:paraId="40BAE344" w14:textId="239C9978" w:rsidR="00AF5C56" w:rsidRPr="00D44DC8" w:rsidRDefault="00704FE2" w:rsidP="00704FE2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704FE2">
        <w:rPr>
          <w:rFonts w:ascii="Open Sans Light" w:hAnsi="Open Sans Light" w:cs="Open Sans Light"/>
          <w:b/>
          <w:sz w:val="20"/>
          <w:szCs w:val="20"/>
        </w:rPr>
        <w:t>oraz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równości szans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kobiet i mężczyzn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8ECD47" w14:textId="17D13911" w:rsid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przedsięwzięcie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jest zgodne z zasadą równości szans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i niedyskryminacji oraz zasadą równości szans kobiet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 mężczyzn?</w:t>
            </w:r>
            <w:r w:rsidR="002C4511"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1"/>
            </w:r>
          </w:p>
          <w:p w14:paraId="6FB8E575" w14:textId="77E9DDA0" w:rsidR="005F4C71" w:rsidRPr="00D44DC8" w:rsidRDefault="005F4C71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4FE2" w:rsidRPr="00D44DC8" w14:paraId="63BFFF2D" w14:textId="77777777" w:rsidTr="00375C8C">
        <w:trPr>
          <w:trHeight w:val="544"/>
        </w:trPr>
        <w:tc>
          <w:tcPr>
            <w:tcW w:w="959" w:type="dxa"/>
          </w:tcPr>
          <w:p w14:paraId="46A3DE3F" w14:textId="77777777" w:rsidR="00704FE2" w:rsidRPr="00D44DC8" w:rsidRDefault="00704FE2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15A6080" w14:textId="3FCFE8DD" w:rsid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przedsięwzięcie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zapewnia dostępność produktów przedsięwzięcia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la osób z niepełnosprawnościami?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C4511"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2"/>
            </w:r>
          </w:p>
          <w:p w14:paraId="1791DEF8" w14:textId="5DDA3721" w:rsid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239FE4" w14:textId="77777777" w:rsidR="00704FE2" w:rsidRPr="00D44DC8" w:rsidRDefault="00704FE2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BB9D8D4" w14:textId="77777777" w:rsidR="00704FE2" w:rsidRPr="00D44DC8" w:rsidRDefault="00704FE2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29D150B7" w:rsidR="006114C6" w:rsidRPr="00D44DC8" w:rsidRDefault="00D836AC" w:rsidP="00704FE2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704FE2">
        <w:rPr>
          <w:rFonts w:ascii="Open Sans Light" w:hAnsi="Open Sans Light" w:cs="Open Sans Light"/>
          <w:b/>
          <w:sz w:val="20"/>
          <w:szCs w:val="20"/>
        </w:rPr>
        <w:t>6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Właściwie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określone wydatki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kwalifikowalne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1E9C2E37" w14:textId="57793061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VAT nie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jest wydatkiem kwalifikowalnym?</w:t>
            </w:r>
          </w:p>
          <w:p w14:paraId="4D39BCAB" w14:textId="3AD83A98" w:rsidR="006114C6" w:rsidRPr="00704FE2" w:rsidRDefault="006114C6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4FE2" w:rsidRPr="00D44DC8" w14:paraId="68EDF732" w14:textId="77777777" w:rsidTr="00833092">
        <w:trPr>
          <w:trHeight w:val="544"/>
        </w:trPr>
        <w:tc>
          <w:tcPr>
            <w:tcW w:w="959" w:type="dxa"/>
          </w:tcPr>
          <w:p w14:paraId="5B4735C0" w14:textId="62416D89" w:rsidR="00704FE2" w:rsidRPr="00D44DC8" w:rsidRDefault="00704FE2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5B97F3CB" w14:textId="11C50715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bieżące wydatki publiczne nie są wydatkami</w:t>
            </w:r>
          </w:p>
          <w:p w14:paraId="6F709127" w14:textId="3BF72B79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Kwalifikowalnymi?  (w tym koszty instytucji</w:t>
            </w:r>
          </w:p>
          <w:p w14:paraId="05AEE80E" w14:textId="2E268FCF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publicznych oraz administracji publicznej, związane z bieżącą obsługą przygotowania i realizacji reform</w:t>
            </w:r>
          </w:p>
          <w:p w14:paraId="220926C5" w14:textId="77777777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i inwestycji w ramach planu rozwojowego (w tym</w:t>
            </w:r>
          </w:p>
          <w:p w14:paraId="55E5FE56" w14:textId="7BBD8AD3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wynagrodzenia urzędników)</w:t>
            </w:r>
          </w:p>
        </w:tc>
        <w:tc>
          <w:tcPr>
            <w:tcW w:w="1134" w:type="dxa"/>
          </w:tcPr>
          <w:p w14:paraId="735AFF2F" w14:textId="77777777" w:rsidR="00704FE2" w:rsidRPr="00D44DC8" w:rsidRDefault="00704FE2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4FC9508" w14:textId="77777777" w:rsidR="00704FE2" w:rsidRPr="00D44DC8" w:rsidRDefault="00704FE2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A1CF9" w:rsidRPr="00D44DC8" w14:paraId="3676636A" w14:textId="77777777" w:rsidTr="00833092">
        <w:trPr>
          <w:trHeight w:val="544"/>
        </w:trPr>
        <w:tc>
          <w:tcPr>
            <w:tcW w:w="959" w:type="dxa"/>
          </w:tcPr>
          <w:p w14:paraId="327218BA" w14:textId="23E87FE5" w:rsidR="008A1CF9" w:rsidRPr="008A1CF9" w:rsidRDefault="008A1CF9" w:rsidP="008A1CF9">
            <w:pPr>
              <w:pStyle w:val="Akapitzlist"/>
              <w:numPr>
                <w:ilvl w:val="0"/>
                <w:numId w:val="6"/>
              </w:numPr>
              <w:ind w:left="450" w:right="-280" w:hanging="180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5B90D88" w14:textId="1B8D7521" w:rsidR="008A1CF9" w:rsidRPr="00704FE2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koszty finansowane w ramach planu rozwojowego są powiązane z realizacją prac stanowiących integralną część inwestycji i służą zapewnieniu osiągnięcia jej celów?</w:t>
            </w:r>
          </w:p>
        </w:tc>
        <w:tc>
          <w:tcPr>
            <w:tcW w:w="1134" w:type="dxa"/>
          </w:tcPr>
          <w:p w14:paraId="2748D1EE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AA61CB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A1CF9" w:rsidRPr="00D44DC8" w14:paraId="33E3FA92" w14:textId="77777777" w:rsidTr="00833092">
        <w:trPr>
          <w:trHeight w:val="544"/>
        </w:trPr>
        <w:tc>
          <w:tcPr>
            <w:tcW w:w="959" w:type="dxa"/>
          </w:tcPr>
          <w:p w14:paraId="6736892A" w14:textId="1613EEAE" w:rsidR="008A1CF9" w:rsidRPr="00D44DC8" w:rsidRDefault="008A1CF9" w:rsidP="008A1CF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14:paraId="3238F1AA" w14:textId="342C5D0A" w:rsidR="008A1CF9" w:rsidRPr="00704FE2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</w:t>
            </w:r>
            <w: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realizacji przedsięwzięć 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uwzględniono właściwe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przepisów o zamówieniach publicznych (dla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podmiotów zobowiązanych do stosowania PZP) lub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reguł konkurencyjności (np. przepisów kodeksu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cywilnego) dla podmiotów niezobowiązanych do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stosowania PZP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D9BE5B1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C79675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2272A638" w14:textId="77777777" w:rsidR="008A1CF9" w:rsidRDefault="008A1CF9" w:rsidP="00F216E3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0817AB5E" w14:textId="77777777" w:rsidR="000F1DBD" w:rsidRPr="00C419E0" w:rsidRDefault="000F1DBD" w:rsidP="000F1DBD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C419E0">
        <w:rPr>
          <w:rFonts w:ascii="Open Sans Light" w:hAnsi="Open Sans Light" w:cs="Open Sans Light"/>
          <w:b/>
          <w:sz w:val="20"/>
          <w:szCs w:val="20"/>
        </w:rPr>
        <w:lastRenderedPageBreak/>
        <w:t>Kryterium horyzontalne nr 7.</w:t>
      </w:r>
      <w:r w:rsidRPr="00C419E0">
        <w:rPr>
          <w:rFonts w:ascii="Open Sans Light" w:hAnsi="Open Sans Light" w:cs="Open Sans Light"/>
          <w:b/>
          <w:sz w:val="20"/>
          <w:szCs w:val="20"/>
        </w:rPr>
        <w:tab/>
        <w:t>Sytuacja finansowa ostatecznego odbiorcy i wykonalność finansowa przedsięwzięcia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C419E0" w:rsidRPr="00C419E0" w14:paraId="72D8E25B" w14:textId="77777777" w:rsidTr="000F1D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15E69B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63C774A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8B92773" w14:textId="29A10A83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22B5141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C419E0" w:rsidRPr="00C419E0" w14:paraId="3BA608AB" w14:textId="77777777" w:rsidTr="000F1DBD">
        <w:trPr>
          <w:trHeight w:val="5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C2A9" w14:textId="77777777" w:rsidR="000F1DBD" w:rsidRPr="00C419E0" w:rsidRDefault="000F1DBD" w:rsidP="000F1DBD">
            <w:pPr>
              <w:numPr>
                <w:ilvl w:val="0"/>
                <w:numId w:val="1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7BC6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sytuacja finansowa ostatecznego</w:t>
            </w:r>
          </w:p>
          <w:p w14:paraId="5EE1457A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odbiorcy nie zagraża realizacji i utrzymaniu rezultatów przedsięwzięcia?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3E67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AA2A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419E0" w:rsidRPr="00C419E0" w14:paraId="7DBA6B28" w14:textId="77777777" w:rsidTr="000F1DBD">
        <w:trPr>
          <w:trHeight w:val="5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8D1" w14:textId="77777777" w:rsidR="000F1DBD" w:rsidRPr="00C419E0" w:rsidRDefault="000F1DBD" w:rsidP="000F1DBD">
            <w:pPr>
              <w:numPr>
                <w:ilvl w:val="0"/>
                <w:numId w:val="1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3BD2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przedstawione zostały wiarygodne źródła współfinansowania przedsięwzięcia (o</w:t>
            </w:r>
          </w:p>
          <w:p w14:paraId="468E9E5C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ile takie jest wymagane dla jego realizacji)?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1CAA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F83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bookmarkEnd w:id="4"/>
      </w:tr>
    </w:tbl>
    <w:p w14:paraId="5E5B16E2" w14:textId="77777777" w:rsidR="000F1DBD" w:rsidRPr="0068657F" w:rsidRDefault="000F1DBD" w:rsidP="00F216E3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52EE17C3" w14:textId="70C2B79F" w:rsidR="008A1CF9" w:rsidRPr="00C419E0" w:rsidRDefault="008A1CF9" w:rsidP="008A1CF9">
      <w:pPr>
        <w:rPr>
          <w:rFonts w:ascii="Open Sans Light" w:hAnsi="Open Sans Light" w:cs="Open Sans Light"/>
          <w:b/>
          <w:sz w:val="20"/>
          <w:szCs w:val="20"/>
        </w:rPr>
      </w:pPr>
      <w:r w:rsidRPr="00C419E0">
        <w:rPr>
          <w:rFonts w:ascii="Open Sans Light" w:hAnsi="Open Sans Light" w:cs="Open Sans Light"/>
          <w:b/>
          <w:sz w:val="20"/>
          <w:szCs w:val="20"/>
        </w:rPr>
        <w:t>Kryterium horyzontalne nr 8.</w:t>
      </w:r>
      <w:r w:rsidRPr="00C419E0">
        <w:rPr>
          <w:rFonts w:ascii="Open Sans Light" w:hAnsi="Open Sans Light" w:cs="Open Sans Light"/>
          <w:b/>
          <w:sz w:val="20"/>
          <w:szCs w:val="20"/>
        </w:rPr>
        <w:tab/>
        <w:t xml:space="preserve">Pomoc publiczna oraz pomoc de </w:t>
      </w:r>
      <w:proofErr w:type="spellStart"/>
      <w:r w:rsidRPr="00C419E0">
        <w:rPr>
          <w:rFonts w:ascii="Open Sans Light" w:hAnsi="Open Sans Light" w:cs="Open Sans Light"/>
          <w:b/>
          <w:sz w:val="20"/>
          <w:szCs w:val="20"/>
        </w:rPr>
        <w:t>minimis</w:t>
      </w:r>
      <w:proofErr w:type="spell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2C403A" w:rsidRPr="002C403A" w14:paraId="58FE3DC9" w14:textId="77777777" w:rsidTr="00432C20">
        <w:tc>
          <w:tcPr>
            <w:tcW w:w="959" w:type="dxa"/>
            <w:shd w:val="clear" w:color="auto" w:fill="E2EFD9"/>
            <w:vAlign w:val="center"/>
          </w:tcPr>
          <w:p w14:paraId="13127600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6458F87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5A00A5A" w14:textId="64AE5E68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 w:rsidR="000F1DBD"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7BA1682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2C403A" w:rsidRPr="002C403A" w14:paraId="28F6C90B" w14:textId="77777777" w:rsidTr="00432C20">
        <w:trPr>
          <w:trHeight w:val="544"/>
        </w:trPr>
        <w:tc>
          <w:tcPr>
            <w:tcW w:w="959" w:type="dxa"/>
          </w:tcPr>
          <w:p w14:paraId="2C952994" w14:textId="25FD9AF9" w:rsidR="008A1CF9" w:rsidRPr="00C419E0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7CCE9104" w14:textId="251C5A34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wsparcie będzie stanowiło</w:t>
            </w:r>
          </w:p>
          <w:p w14:paraId="5E642958" w14:textId="1B9E52A6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pomoc publiczną w rozumieniu art. 107 ust. 1 TFUE?</w:t>
            </w:r>
          </w:p>
        </w:tc>
        <w:tc>
          <w:tcPr>
            <w:tcW w:w="1134" w:type="dxa"/>
          </w:tcPr>
          <w:p w14:paraId="439309C8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AEB1E4F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C403A" w:rsidRPr="002C403A" w14:paraId="08F7C67A" w14:textId="77777777" w:rsidTr="00432C20">
        <w:trPr>
          <w:trHeight w:val="544"/>
        </w:trPr>
        <w:tc>
          <w:tcPr>
            <w:tcW w:w="959" w:type="dxa"/>
          </w:tcPr>
          <w:p w14:paraId="1E8B66B7" w14:textId="0D2F1329" w:rsidR="008A1CF9" w:rsidRPr="00C419E0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4AD86981" w14:textId="0F2C208A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przedsięwzięcie spełnia wymogi właściwego</w:t>
            </w:r>
          </w:p>
          <w:p w14:paraId="6B544E3B" w14:textId="77777777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programu pomocowego, indywidualnej decyzji</w:t>
            </w:r>
          </w:p>
          <w:p w14:paraId="71898ED9" w14:textId="1FC91761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notyfikacyjnej lub innej podstawy udzielenia pomocy publicznej lub pomocy de </w:t>
            </w:r>
            <w:proofErr w:type="spellStart"/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minimis</w:t>
            </w:r>
            <w:proofErr w:type="spellEnd"/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53A1245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DBA939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C403A" w:rsidRPr="002C403A" w14:paraId="374CAA88" w14:textId="77777777" w:rsidTr="00432C20">
        <w:trPr>
          <w:trHeight w:val="544"/>
        </w:trPr>
        <w:tc>
          <w:tcPr>
            <w:tcW w:w="959" w:type="dxa"/>
          </w:tcPr>
          <w:p w14:paraId="597E4B1E" w14:textId="6933AFC6" w:rsidR="008A1CF9" w:rsidRPr="00C419E0" w:rsidRDefault="0068657F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</w:tcPr>
          <w:p w14:paraId="6EA00773" w14:textId="642D55E2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Jeżeli wsparcie nie stanowi pomocy publicznej,</w:t>
            </w:r>
          </w:p>
          <w:p w14:paraId="2B5041E7" w14:textId="4E21520F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to czy przedstawiono odpowiednie wyjaśnienia. Wyjaśnienia powinny zawierać odniesienia</w:t>
            </w:r>
          </w:p>
          <w:p w14:paraId="4357FE98" w14:textId="7D099D5B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 właściwych dokumentów instytucji Unii Europejskiej,</w:t>
            </w:r>
            <w:r w:rsidR="00EF608F"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 tym m.in. do:</w:t>
            </w:r>
          </w:p>
          <w:p w14:paraId="21CEEF3A" w14:textId="77777777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Zawiadomienia Komisji w sprawie pojęcia pomocy</w:t>
            </w:r>
          </w:p>
          <w:p w14:paraId="1ABC4E07" w14:textId="77777777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państwa w rozumieniu art. 107 ust. 1 Traktatu</w:t>
            </w:r>
          </w:p>
          <w:p w14:paraId="450A20BC" w14:textId="77777777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 funkcjonowaniu Unii Europejskiej (2016/C 262/01);</w:t>
            </w:r>
          </w:p>
          <w:p w14:paraId="30969CFF" w14:textId="77777777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en-US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  <w:lang w:val="en-US"/>
              </w:rPr>
              <w:t>- Recovery and resilience facility (RRF) guiding</w:t>
            </w:r>
          </w:p>
          <w:p w14:paraId="1D11AE2B" w14:textId="77777777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proofErr w:type="spellStart"/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templates</w:t>
            </w:r>
            <w:proofErr w:type="spellEnd"/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, dostępne na stronie internetowej DG</w:t>
            </w:r>
          </w:p>
          <w:p w14:paraId="5D14A3A6" w14:textId="4A535EB1" w:rsidR="008A1CF9" w:rsidRPr="00C419E0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COMP.</w:t>
            </w:r>
          </w:p>
        </w:tc>
        <w:tc>
          <w:tcPr>
            <w:tcW w:w="1134" w:type="dxa"/>
          </w:tcPr>
          <w:p w14:paraId="7BD70AC4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3C4FDE3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C403A" w:rsidRPr="002C403A" w14:paraId="5FDFE04F" w14:textId="77777777" w:rsidTr="00432C20">
        <w:trPr>
          <w:trHeight w:val="544"/>
        </w:trPr>
        <w:tc>
          <w:tcPr>
            <w:tcW w:w="959" w:type="dxa"/>
          </w:tcPr>
          <w:p w14:paraId="3024580E" w14:textId="6E2D4AF5" w:rsidR="008A1CF9" w:rsidRPr="00C419E0" w:rsidRDefault="0068657F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14:paraId="0EE4E01B" w14:textId="4D26405B" w:rsidR="00EF608F" w:rsidRPr="00C419E0" w:rsidRDefault="00EF608F" w:rsidP="00EF608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Jeśli wsparcie w ramach przedsięwzięcia stanowi pomoc publiczną, to czy pomoc jest zgodna</w:t>
            </w:r>
          </w:p>
          <w:p w14:paraId="7D52DC16" w14:textId="2A40BBBF" w:rsidR="008A1CF9" w:rsidRPr="00C419E0" w:rsidRDefault="00EF608F" w:rsidP="00EF608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 rynkiem wewnętrznym i czy wskazano podstawę zgodności tej pomocy z rynkiem wewnętrznym UE wraz z wyjaśnieniem czy pomoc podlega obowiązkowi notyfikacji Komisji Europejskiej, o którym mowa w art. 108 ust. 3 TFUE.</w:t>
            </w:r>
          </w:p>
        </w:tc>
        <w:tc>
          <w:tcPr>
            <w:tcW w:w="1134" w:type="dxa"/>
          </w:tcPr>
          <w:p w14:paraId="6ED23CE0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764FCB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D2450EF" w14:textId="77777777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DFB3349" w14:textId="77777777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3485162B" w14:textId="7EDDE6CF" w:rsidR="0068657F" w:rsidRPr="00D44DC8" w:rsidRDefault="0068657F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9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68657F">
        <w:rPr>
          <w:rFonts w:ascii="Open Sans Light" w:hAnsi="Open Sans Light" w:cs="Open Sans Light"/>
          <w:b/>
          <w:sz w:val="20"/>
          <w:szCs w:val="20"/>
        </w:rPr>
        <w:t>Zgodność 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„niewyrządzania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znaczącej szkody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środowisku” (DNSH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 xml:space="preserve">– „do no </w:t>
      </w:r>
      <w:proofErr w:type="spellStart"/>
      <w:r w:rsidRPr="0068657F">
        <w:rPr>
          <w:rFonts w:ascii="Open Sans Light" w:hAnsi="Open Sans Light" w:cs="Open Sans Light"/>
          <w:b/>
          <w:sz w:val="20"/>
          <w:szCs w:val="20"/>
        </w:rPr>
        <w:t>significant</w:t>
      </w:r>
      <w:proofErr w:type="spellEnd"/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proofErr w:type="spellStart"/>
      <w:r w:rsidRPr="0068657F">
        <w:rPr>
          <w:rFonts w:ascii="Open Sans Light" w:hAnsi="Open Sans Light" w:cs="Open Sans Light"/>
          <w:b/>
          <w:sz w:val="20"/>
          <w:szCs w:val="20"/>
        </w:rPr>
        <w:t>harm</w:t>
      </w:r>
      <w:proofErr w:type="spellEnd"/>
      <w:r w:rsidRPr="0068657F">
        <w:rPr>
          <w:rFonts w:ascii="Open Sans Light" w:hAnsi="Open Sans Light" w:cs="Open Sans Light"/>
          <w:b/>
          <w:sz w:val="20"/>
          <w:szCs w:val="20"/>
        </w:rPr>
        <w:t>”)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8657F" w:rsidRPr="00D44DC8" w14:paraId="7855FB50" w14:textId="77777777" w:rsidTr="00432C20">
        <w:tc>
          <w:tcPr>
            <w:tcW w:w="959" w:type="dxa"/>
            <w:shd w:val="clear" w:color="auto" w:fill="E2EFD9"/>
            <w:vAlign w:val="center"/>
          </w:tcPr>
          <w:p w14:paraId="70B04C61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66F207F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03E7A55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57E7F2AF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8657F" w:rsidRPr="00D44DC8" w14:paraId="012D9204" w14:textId="77777777" w:rsidTr="00432C20">
        <w:trPr>
          <w:trHeight w:val="544"/>
        </w:trPr>
        <w:tc>
          <w:tcPr>
            <w:tcW w:w="959" w:type="dxa"/>
          </w:tcPr>
          <w:p w14:paraId="159720CE" w14:textId="77777777" w:rsidR="0068657F" w:rsidRPr="00D44DC8" w:rsidRDefault="0068657F" w:rsidP="00432C20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1B3B4158" w14:textId="26265CAB" w:rsidR="0068657F" w:rsidRPr="0068657F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zachowano zgodność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z zasadą</w:t>
            </w:r>
          </w:p>
          <w:p w14:paraId="5408346F" w14:textId="08E85460" w:rsidR="0068657F" w:rsidRPr="0068657F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„niewyrządzania znaczącej szkody środowisku” na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podstawie Rozporządzenia RRF oraz Wytycznych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technicznych dotyczących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stosowania zasady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„niewyrządzania znaczącej szkody środowisku” na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podstawie rozporządzenia ustanawiającego Instrument</w:t>
            </w:r>
          </w:p>
          <w:p w14:paraId="57E0F8BC" w14:textId="0E15D74B" w:rsidR="0068657F" w:rsidRPr="00704FE2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na rzecz Odbudowy i Zwiększania Odporności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B57AE0"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134" w:type="dxa"/>
          </w:tcPr>
          <w:p w14:paraId="6CB31DAF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86B72A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2697B289" w14:textId="77777777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71DF6C47" w14:textId="16740E64" w:rsidR="00550ADD" w:rsidRPr="00D44DC8" w:rsidRDefault="00550ADD" w:rsidP="00550ADD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50ADD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550ADD">
        <w:rPr>
          <w:rFonts w:ascii="Open Sans Light" w:hAnsi="Open Sans Light" w:cs="Open Sans Light"/>
          <w:b/>
          <w:sz w:val="20"/>
          <w:szCs w:val="20"/>
        </w:rPr>
        <w:t>Zgodność 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zrównoważonego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 xml:space="preserve">rozwoju </w:t>
      </w:r>
      <w:r>
        <w:rPr>
          <w:rFonts w:ascii="Open Sans Light" w:hAnsi="Open Sans Light" w:cs="Open Sans Light"/>
          <w:b/>
          <w:sz w:val="20"/>
          <w:szCs w:val="20"/>
        </w:rPr>
        <w:t xml:space="preserve">– </w:t>
      </w:r>
      <w:r w:rsidRPr="00550ADD">
        <w:rPr>
          <w:rFonts w:ascii="Open Sans Light" w:hAnsi="Open Sans Light" w:cs="Open Sans Light"/>
          <w:b/>
          <w:sz w:val="20"/>
          <w:szCs w:val="20"/>
        </w:rPr>
        <w:t>racjonalne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wykorzystywanie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zasobów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naturalnych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550ADD" w:rsidRPr="00D44DC8" w14:paraId="65C7D548" w14:textId="77777777" w:rsidTr="00DB0C59">
        <w:tc>
          <w:tcPr>
            <w:tcW w:w="959" w:type="dxa"/>
            <w:shd w:val="clear" w:color="auto" w:fill="E2EFD9"/>
            <w:vAlign w:val="center"/>
          </w:tcPr>
          <w:p w14:paraId="2349D103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1E4253F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875D4D5" w14:textId="58D1779A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 w:rsidR="00832521"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B7294EB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550ADD" w:rsidRPr="00D44DC8" w14:paraId="41B57AC0" w14:textId="77777777" w:rsidTr="00DB0C59">
        <w:trPr>
          <w:trHeight w:val="544"/>
        </w:trPr>
        <w:tc>
          <w:tcPr>
            <w:tcW w:w="959" w:type="dxa"/>
          </w:tcPr>
          <w:p w14:paraId="3E4E2A29" w14:textId="77777777" w:rsidR="00550ADD" w:rsidRPr="00D44DC8" w:rsidRDefault="00550ADD" w:rsidP="00DB0C5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485E35FB" w14:textId="75877A49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</w:t>
            </w: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zy przedsięwzięcie obejmuje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finansowanie działań minimalizujących oddziaływanie</w:t>
            </w:r>
          </w:p>
          <w:p w14:paraId="6149C80E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działalności człowieka na środowisko. Zasada</w:t>
            </w:r>
          </w:p>
          <w:p w14:paraId="668CB42C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zrównoważonego rozwoju jest zachowana, jeżeli</w:t>
            </w:r>
          </w:p>
          <w:p w14:paraId="0B1F8F1D" w14:textId="65AED816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 ramach przedsięwzięcia zakłada się podejmowanie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działań ukierunkowanych na:</w:t>
            </w:r>
          </w:p>
          <w:p w14:paraId="54C1FE8F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racjonalne gospodarowanie zasobami;</w:t>
            </w:r>
          </w:p>
          <w:p w14:paraId="314FA88A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ograniczenie presji na środowisko;</w:t>
            </w:r>
          </w:p>
          <w:p w14:paraId="580181E2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uwzględnianie efektów środowiskowych</w:t>
            </w:r>
          </w:p>
          <w:p w14:paraId="4CE0AD71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 zarządzaniu;</w:t>
            </w:r>
          </w:p>
          <w:p w14:paraId="626AA8EE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podnoszenie świadomości ekologicznej</w:t>
            </w:r>
          </w:p>
          <w:p w14:paraId="3874E5DC" w14:textId="402F11C5" w:rsidR="00550ADD" w:rsidRPr="00704FE2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społeczeństwa.</w:t>
            </w:r>
            <w:r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</w:tcPr>
          <w:p w14:paraId="77A2F126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0A42E7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C9E1F3A" w14:textId="6A32E1A1" w:rsidR="00FB1E19" w:rsidRDefault="00FB1E19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324CF3" w14:textId="77777777" w:rsidR="00FB1E19" w:rsidRDefault="00FB1E19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5DD78E57" w14:textId="77777777" w:rsidR="00FB1E19" w:rsidRDefault="00FB1E19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55E461EB" w14:textId="14D00D62" w:rsidR="0068657F" w:rsidRPr="00D44DC8" w:rsidRDefault="0068657F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11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68657F">
        <w:rPr>
          <w:rFonts w:ascii="Open Sans Light" w:hAnsi="Open Sans Light" w:cs="Open Sans Light"/>
          <w:b/>
          <w:sz w:val="20"/>
          <w:szCs w:val="20"/>
        </w:rPr>
        <w:t>Zgodność 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długotrwałego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wpływu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przedsięwzięcia na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wydajność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i odporność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gospodarki polskiej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8657F" w:rsidRPr="00D44DC8" w14:paraId="6B515473" w14:textId="77777777" w:rsidTr="00432C20">
        <w:tc>
          <w:tcPr>
            <w:tcW w:w="959" w:type="dxa"/>
            <w:shd w:val="clear" w:color="auto" w:fill="E2EFD9"/>
            <w:vAlign w:val="center"/>
          </w:tcPr>
          <w:p w14:paraId="358D4C1D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8ADC2EA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D1B3E56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69332CFA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8657F" w:rsidRPr="00D44DC8" w14:paraId="32EE6416" w14:textId="77777777" w:rsidTr="00432C20">
        <w:trPr>
          <w:trHeight w:val="544"/>
        </w:trPr>
        <w:tc>
          <w:tcPr>
            <w:tcW w:w="959" w:type="dxa"/>
          </w:tcPr>
          <w:p w14:paraId="2A21B39E" w14:textId="77777777" w:rsidR="0068657F" w:rsidRPr="00D44DC8" w:rsidRDefault="0068657F" w:rsidP="00432C20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CF092B4" w14:textId="12C72CAA" w:rsidR="0068657F" w:rsidRPr="0068657F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zy realizacja przedsięwzięcia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zapewnia efekty długoterminowe, tzn. przekraczające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ramy czasowe obowiązywania RRF i nie ma charakteru</w:t>
            </w:r>
          </w:p>
          <w:p w14:paraId="431035D4" w14:textId="0A1A2E91" w:rsidR="0068657F" w:rsidRPr="00704FE2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powtarzających się krajowych wydatków budżetowych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5FEDD823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289938D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F2B67E9" w14:textId="77777777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09E25F12" w14:textId="24322D1B" w:rsidR="00832521" w:rsidRPr="00D44DC8" w:rsidRDefault="00832521" w:rsidP="00832521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50ADD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12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832521">
        <w:rPr>
          <w:rFonts w:ascii="Open Sans Light" w:hAnsi="Open Sans Light" w:cs="Open Sans Light"/>
          <w:b/>
          <w:sz w:val="20"/>
          <w:szCs w:val="20"/>
        </w:rPr>
        <w:t>Wpływ na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wskaźniki i cele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inwestycji w planie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rozwojowym i RRF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32521" w:rsidRPr="00D44DC8" w14:paraId="27C26D47" w14:textId="77777777" w:rsidTr="00DB0C59">
        <w:tc>
          <w:tcPr>
            <w:tcW w:w="959" w:type="dxa"/>
            <w:shd w:val="clear" w:color="auto" w:fill="E2EFD9"/>
            <w:vAlign w:val="center"/>
          </w:tcPr>
          <w:p w14:paraId="4C65F959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F1BB3EE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4D2A12D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7F7E34F4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32521" w:rsidRPr="00D44DC8" w14:paraId="2A0EE2A9" w14:textId="77777777" w:rsidTr="00DB0C59">
        <w:trPr>
          <w:trHeight w:val="544"/>
        </w:trPr>
        <w:tc>
          <w:tcPr>
            <w:tcW w:w="959" w:type="dxa"/>
          </w:tcPr>
          <w:p w14:paraId="68E7015A" w14:textId="77777777" w:rsidR="00832521" w:rsidRPr="00D44DC8" w:rsidRDefault="00832521" w:rsidP="00DB0C5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47ACDAFB" w14:textId="5E44E3C1" w:rsidR="00832521" w:rsidRPr="00C419E0" w:rsidRDefault="00832521" w:rsidP="00832521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sz w:val="20"/>
                <w:szCs w:val="20"/>
              </w:rPr>
              <w:t xml:space="preserve">Czy przedsięwzięcie ma pozytywny i bezpośredni wpływ na wskaźniki i cele określone w planie rozwojowym (decyzji implementacyjnej), jak również wskaźniki wspólne, a metodyka ich wyliczania jest wiarygodna? </w:t>
            </w:r>
            <w:r w:rsidRPr="00C419E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1134" w:type="dxa"/>
          </w:tcPr>
          <w:p w14:paraId="4D599E02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0F8FDE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0A44A2D" w14:textId="181A2AEA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2053293" w14:textId="77777777" w:rsidR="00832521" w:rsidRDefault="00832521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9E28604" w14:textId="34821FE9" w:rsidR="00832521" w:rsidRPr="00D44DC8" w:rsidRDefault="00832521" w:rsidP="00832521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50ADD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13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832521">
        <w:rPr>
          <w:rFonts w:ascii="Open Sans Light" w:hAnsi="Open Sans Light" w:cs="Open Sans Light"/>
          <w:b/>
          <w:sz w:val="20"/>
          <w:szCs w:val="20"/>
        </w:rPr>
        <w:t>Adekwatność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wskaźników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własnych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przedsięwzięcia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32521" w:rsidRPr="00D44DC8" w14:paraId="47CE23D2" w14:textId="77777777" w:rsidTr="00DB0C59">
        <w:tc>
          <w:tcPr>
            <w:tcW w:w="959" w:type="dxa"/>
            <w:shd w:val="clear" w:color="auto" w:fill="E2EFD9"/>
            <w:vAlign w:val="center"/>
          </w:tcPr>
          <w:p w14:paraId="623C2111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7CD6C4F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EC0D216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6488975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32521" w:rsidRPr="00D44DC8" w14:paraId="2B84AF20" w14:textId="77777777" w:rsidTr="00DB0C59">
        <w:trPr>
          <w:trHeight w:val="544"/>
        </w:trPr>
        <w:tc>
          <w:tcPr>
            <w:tcW w:w="959" w:type="dxa"/>
          </w:tcPr>
          <w:p w14:paraId="4A4112B8" w14:textId="77777777" w:rsidR="00832521" w:rsidRPr="00D44DC8" w:rsidRDefault="00832521" w:rsidP="00DB0C5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2229BF56" w14:textId="40071A29" w:rsidR="00832521" w:rsidRPr="00C419E0" w:rsidRDefault="00832521" w:rsidP="00832521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sz w:val="20"/>
                <w:szCs w:val="20"/>
              </w:rPr>
              <w:t>Czy wskaźniki własne przedsięwzięcia (inne niż wskaźniki dla inwestycji w planie rozwojowym</w:t>
            </w:r>
          </w:p>
          <w:p w14:paraId="293EDD29" w14:textId="3552F175" w:rsidR="00832521" w:rsidRPr="00704FE2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sz w:val="20"/>
                <w:szCs w:val="20"/>
              </w:rPr>
              <w:t>i wspólne wskaźniki na poziomie RRF) są adekwatne do celu i zakresu danego przedsięwzięcia oraz mierzalne i realne?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134" w:type="dxa"/>
          </w:tcPr>
          <w:p w14:paraId="6BB730BA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D550AB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C7665FE" w14:textId="77777777" w:rsidR="00832521" w:rsidRDefault="00832521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4155BE48" w14:textId="77777777" w:rsidR="00F5757B" w:rsidRPr="00D44DC8" w:rsidRDefault="00F5757B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F1FB707" w:rsidR="005F22E6" w:rsidRPr="00C2552A" w:rsidRDefault="0068657F" w:rsidP="0068657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t>Projekt</w:t>
            </w:r>
            <w:r w:rsidR="005F22E6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spełnia 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7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122CB7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9B5F" w14:textId="77777777" w:rsidR="00895A98" w:rsidRDefault="00895A98">
      <w:r>
        <w:separator/>
      </w:r>
    </w:p>
  </w:endnote>
  <w:endnote w:type="continuationSeparator" w:id="0">
    <w:p w14:paraId="3AA444B0" w14:textId="77777777" w:rsidR="00895A98" w:rsidRDefault="0089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F404" w14:textId="6C95D22E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8657F" w:rsidRPr="0068657F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252C3" w14:textId="77777777" w:rsidR="00895A98" w:rsidRDefault="00895A98">
      <w:r>
        <w:separator/>
      </w:r>
    </w:p>
  </w:footnote>
  <w:footnote w:type="continuationSeparator" w:id="0">
    <w:p w14:paraId="06876510" w14:textId="77777777" w:rsidR="00895A98" w:rsidRDefault="00895A98">
      <w:r>
        <w:continuationSeparator/>
      </w:r>
    </w:p>
  </w:footnote>
  <w:footnote w:id="1">
    <w:p w14:paraId="50870044" w14:textId="50C8CA1D" w:rsidR="002C4511" w:rsidRPr="00C419E0" w:rsidRDefault="002C4511" w:rsidP="002C4511">
      <w:pPr>
        <w:pStyle w:val="Tekstprzypisudolnego"/>
        <w:rPr>
          <w:rFonts w:ascii="Open Sans" w:hAnsi="Open Sans" w:cs="Open Sans"/>
        </w:rPr>
      </w:pPr>
      <w:r w:rsidRPr="00C419E0">
        <w:rPr>
          <w:rStyle w:val="Odwoanieprzypisudolnego"/>
          <w:rFonts w:ascii="Open Sans" w:hAnsi="Open Sans" w:cs="Open Sans"/>
        </w:rPr>
        <w:footnoteRef/>
      </w:r>
      <w:r w:rsidRPr="00C419E0">
        <w:rPr>
          <w:rFonts w:ascii="Open Sans" w:hAnsi="Open Sans" w:cs="Open Sans"/>
        </w:rPr>
        <w:t xml:space="preserve"> W wyjątkowych sytuacjach dopuszczalne jest uznanie neutralności przedsięwzięcia w stosunku do zasady równości szans kobiet i mężczyzn, o ile ostateczny odbiorca wskaże szczegółowe uzasadnienie, dlaczego dane</w:t>
      </w:r>
      <w:r w:rsidR="00B57AE0">
        <w:rPr>
          <w:rFonts w:ascii="Open Sans" w:hAnsi="Open Sans" w:cs="Open Sans"/>
        </w:rPr>
        <w:t xml:space="preserve"> </w:t>
      </w:r>
      <w:r w:rsidRPr="00C419E0">
        <w:rPr>
          <w:rFonts w:ascii="Open Sans" w:hAnsi="Open Sans" w:cs="Open Sans"/>
        </w:rPr>
        <w:t>przedsięwzięcie nie jest w stanie zrealizować</w:t>
      </w:r>
      <w:r w:rsidR="00B57AE0">
        <w:rPr>
          <w:rFonts w:ascii="Open Sans" w:hAnsi="Open Sans" w:cs="Open Sans"/>
        </w:rPr>
        <w:t xml:space="preserve"> </w:t>
      </w:r>
      <w:r w:rsidRPr="00C419E0">
        <w:rPr>
          <w:rFonts w:ascii="Open Sans" w:hAnsi="Open Sans" w:cs="Open Sans"/>
        </w:rPr>
        <w:t xml:space="preserve">jakichkolwiek działań w tym zakresie;  </w:t>
      </w:r>
    </w:p>
  </w:footnote>
  <w:footnote w:id="2">
    <w:p w14:paraId="26253137" w14:textId="70CAC8DA" w:rsidR="002C4511" w:rsidRDefault="002C4511">
      <w:pPr>
        <w:pStyle w:val="Tekstprzypisudolnego"/>
      </w:pPr>
      <w:r w:rsidRPr="00C419E0">
        <w:rPr>
          <w:rStyle w:val="Odwoanieprzypisudolnego"/>
          <w:rFonts w:ascii="Open Sans" w:hAnsi="Open Sans" w:cs="Open Sans"/>
        </w:rPr>
        <w:footnoteRef/>
      </w:r>
      <w:r w:rsidRPr="00C419E0">
        <w:rPr>
          <w:rFonts w:ascii="Open Sans" w:hAnsi="Open Sans" w:cs="Open Sans"/>
        </w:rPr>
        <w:t xml:space="preserve"> W wyjątkowych sytuacjach dopuszczalne jest uznanie neutralności produktu przedsięwzięcia w stosunku do niniejszej zasady, o ile ostateczny odbiorca wskaże szczegółowe uzasadnienie, dlaczego dany produkt przedsięwzięcia nie jest w stanie zrealizować jakichkolwiek działań w tym zakresie</w:t>
      </w:r>
    </w:p>
  </w:footnote>
  <w:footnote w:id="3">
    <w:p w14:paraId="76F11F0D" w14:textId="04DAB9DE" w:rsidR="00B57AE0" w:rsidRPr="00C419E0" w:rsidRDefault="00B57AE0" w:rsidP="00B57AE0">
      <w:pPr>
        <w:pStyle w:val="Tekstprzypisudolnego"/>
        <w:rPr>
          <w:rFonts w:ascii="Open Sans" w:hAnsi="Open Sans" w:cs="Open Sans"/>
          <w:sz w:val="22"/>
          <w:szCs w:val="22"/>
        </w:rPr>
      </w:pPr>
      <w:r w:rsidRPr="00C419E0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C419E0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</w:t>
      </w:r>
      <w:r w:rsidRPr="00C419E0">
        <w:rPr>
          <w:rFonts w:ascii="Open Sans" w:hAnsi="Open Sans" w:cs="Open Sans"/>
          <w:sz w:val="22"/>
          <w:szCs w:val="22"/>
        </w:rPr>
        <w:t>eryfikacja na etapie oceny wniosku o objęcie wsparciem dotyczy inwestycji, dla których w decyzji implementacyjnej wskazano objęcie przedsięwzięć zasadą DNSH.</w:t>
      </w:r>
    </w:p>
  </w:footnote>
  <w:footnote w:id="4">
    <w:p w14:paraId="68C98549" w14:textId="6B07CF09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19E0">
        <w:rPr>
          <w:rFonts w:ascii="Open Sans" w:hAnsi="Open Sans" w:cs="Open Sans"/>
          <w:sz w:val="22"/>
          <w:szCs w:val="22"/>
        </w:rPr>
        <w:t>W przypadku kiedy przedsięwzięcie nie jest objęte zasadą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zrównoważonego rozwoju, należy wskazać ‘nie dotyczy’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wraz z uzasadnieniem.</w:t>
      </w:r>
    </w:p>
  </w:footnote>
  <w:footnote w:id="5">
    <w:p w14:paraId="145A330C" w14:textId="25796418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19E0">
        <w:rPr>
          <w:rFonts w:ascii="Open Sans" w:hAnsi="Open Sans" w:cs="Open Sans"/>
          <w:sz w:val="22"/>
          <w:szCs w:val="22"/>
        </w:rPr>
        <w:t>Spełnienie kryterium oznacza, iż realizacja danego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przedsięwzięcia przyczynia się do osiągnięcia celu i/lub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wskaźnika dla danej inwestycji w planie rozwojowym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i/lub realizuje wspólne wskaźniki na poziomie RRF (jeżeli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dotyczy).</w:t>
      </w:r>
    </w:p>
    <w:p w14:paraId="13E25588" w14:textId="5CB64A80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 w:rsidRPr="00C419E0">
        <w:rPr>
          <w:rFonts w:ascii="Open Sans" w:hAnsi="Open Sans" w:cs="Open Sans"/>
          <w:sz w:val="22"/>
          <w:szCs w:val="22"/>
        </w:rPr>
        <w:t>W przypadku gdy przedsięwzięcie nie wpływa na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realizację wskaźników i celów planu rozwojowego, należy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wskazać ‘nie dotyczy’ wraz z uzasadnieniem</w:t>
      </w:r>
      <w:r>
        <w:rPr>
          <w:rFonts w:ascii="Open Sans" w:hAnsi="Open Sans" w:cs="Open Sans"/>
          <w:sz w:val="22"/>
          <w:szCs w:val="22"/>
        </w:rPr>
        <w:t>.</w:t>
      </w:r>
    </w:p>
  </w:footnote>
  <w:footnote w:id="6">
    <w:p w14:paraId="4A05D6EB" w14:textId="15E61623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 w:rsidRPr="00C419E0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C419E0">
        <w:rPr>
          <w:rFonts w:ascii="Open Sans" w:hAnsi="Open Sans" w:cs="Open Sans"/>
          <w:sz w:val="22"/>
          <w:szCs w:val="22"/>
        </w:rPr>
        <w:t xml:space="preserve"> W przypadku gdy przedsięwzięcie nie ma wskaźników własnych, należy wskazać ‘nie dotyczy’.</w:t>
      </w:r>
    </w:p>
  </w:footnote>
  <w:footnote w:id="7">
    <w:p w14:paraId="3863DFB8" w14:textId="10B6FD56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="0068657F" w:rsidRPr="00C2552A">
        <w:rPr>
          <w:rFonts w:ascii="Open Sans Light" w:hAnsi="Open Sans Light" w:cs="Open Sans Light"/>
          <w:sz w:val="22"/>
          <w:szCs w:val="22"/>
        </w:rPr>
        <w:t>zwrot do beneficjenta z prośbą o uzupełnienie</w:t>
      </w:r>
      <w:r w:rsidR="0068657F">
        <w:rPr>
          <w:rFonts w:ascii="Open Sans Light" w:hAnsi="Open Sans Light" w:cs="Open Sans Light"/>
          <w:sz w:val="22"/>
          <w:szCs w:val="22"/>
        </w:rPr>
        <w:t>/projekt oceniony pozytywnie/</w:t>
      </w:r>
      <w:r w:rsidR="0068657F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>projekt odrzucony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A7C45"/>
    <w:multiLevelType w:val="hybridMultilevel"/>
    <w:tmpl w:val="9C364D3C"/>
    <w:lvl w:ilvl="0" w:tplc="6860CB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FD0"/>
    <w:multiLevelType w:val="hybridMultilevel"/>
    <w:tmpl w:val="2716D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E21E7"/>
    <w:multiLevelType w:val="hybridMultilevel"/>
    <w:tmpl w:val="7054D6EA"/>
    <w:lvl w:ilvl="0" w:tplc="93D4C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A42C74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B54BF"/>
    <w:multiLevelType w:val="hybridMultilevel"/>
    <w:tmpl w:val="7C3A373A"/>
    <w:lvl w:ilvl="0" w:tplc="6860CB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614204">
    <w:abstractNumId w:val="2"/>
  </w:num>
  <w:num w:numId="2" w16cid:durableId="1121263317">
    <w:abstractNumId w:val="7"/>
  </w:num>
  <w:num w:numId="3" w16cid:durableId="549263803">
    <w:abstractNumId w:val="0"/>
  </w:num>
  <w:num w:numId="4" w16cid:durableId="833297784">
    <w:abstractNumId w:val="9"/>
  </w:num>
  <w:num w:numId="5" w16cid:durableId="1451314770">
    <w:abstractNumId w:val="1"/>
  </w:num>
  <w:num w:numId="6" w16cid:durableId="372927872">
    <w:abstractNumId w:val="10"/>
  </w:num>
  <w:num w:numId="7" w16cid:durableId="487138891">
    <w:abstractNumId w:val="4"/>
  </w:num>
  <w:num w:numId="8" w16cid:durableId="544099016">
    <w:abstractNumId w:val="8"/>
  </w:num>
  <w:num w:numId="9" w16cid:durableId="1741908169">
    <w:abstractNumId w:val="11"/>
  </w:num>
  <w:num w:numId="10" w16cid:durableId="1645937344">
    <w:abstractNumId w:val="6"/>
  </w:num>
  <w:num w:numId="11" w16cid:durableId="1108040042">
    <w:abstractNumId w:val="5"/>
  </w:num>
  <w:num w:numId="12" w16cid:durableId="1422338590">
    <w:abstractNumId w:val="3"/>
  </w:num>
  <w:num w:numId="13" w16cid:durableId="330566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9425C"/>
    <w:rsid w:val="000A3010"/>
    <w:rsid w:val="000B0EDE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1DBD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2CB7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403A"/>
    <w:rsid w:val="002C4511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07A9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0CA4"/>
    <w:rsid w:val="0043153E"/>
    <w:rsid w:val="00433A0C"/>
    <w:rsid w:val="004343C6"/>
    <w:rsid w:val="00434A9B"/>
    <w:rsid w:val="00434BE8"/>
    <w:rsid w:val="00434D3D"/>
    <w:rsid w:val="00436C1E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849CB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37014"/>
    <w:rsid w:val="005407B9"/>
    <w:rsid w:val="0054353A"/>
    <w:rsid w:val="00543723"/>
    <w:rsid w:val="00545461"/>
    <w:rsid w:val="00546B7D"/>
    <w:rsid w:val="00550AD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8657F"/>
    <w:rsid w:val="006916A2"/>
    <w:rsid w:val="00693119"/>
    <w:rsid w:val="006A40B1"/>
    <w:rsid w:val="006A5980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4FE2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2521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95A98"/>
    <w:rsid w:val="008A1CF9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1D71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57AE0"/>
    <w:rsid w:val="00B60294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19E0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6192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A4510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C517A"/>
    <w:rsid w:val="00ED0B3B"/>
    <w:rsid w:val="00ED2311"/>
    <w:rsid w:val="00ED2CCA"/>
    <w:rsid w:val="00ED3590"/>
    <w:rsid w:val="00ED5C3C"/>
    <w:rsid w:val="00EE34F5"/>
    <w:rsid w:val="00EF57FB"/>
    <w:rsid w:val="00EF608F"/>
    <w:rsid w:val="00EF757C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67E11"/>
    <w:rsid w:val="00F72BE8"/>
    <w:rsid w:val="00F73698"/>
    <w:rsid w:val="00F77027"/>
    <w:rsid w:val="00F771C1"/>
    <w:rsid w:val="00F776D3"/>
    <w:rsid w:val="00F835F7"/>
    <w:rsid w:val="00F9292E"/>
    <w:rsid w:val="00F95D30"/>
    <w:rsid w:val="00F95D98"/>
    <w:rsid w:val="00F9682E"/>
    <w:rsid w:val="00F97890"/>
    <w:rsid w:val="00FA503C"/>
    <w:rsid w:val="00FA68F8"/>
    <w:rsid w:val="00FB0F4D"/>
    <w:rsid w:val="00FB1DBF"/>
    <w:rsid w:val="00FB1E19"/>
    <w:rsid w:val="00FB3A49"/>
    <w:rsid w:val="00FC1A85"/>
    <w:rsid w:val="00FC33E7"/>
    <w:rsid w:val="00FD3846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CF7A4-2FFA-4DF3-83EB-CC7E4EEF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3</cp:revision>
  <cp:lastPrinted>2019-11-26T12:24:00Z</cp:lastPrinted>
  <dcterms:created xsi:type="dcterms:W3CDTF">2024-05-28T11:25:00Z</dcterms:created>
  <dcterms:modified xsi:type="dcterms:W3CDTF">2024-05-29T11:16:00Z</dcterms:modified>
</cp:coreProperties>
</file>